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spacing w:line="312" w:lineRule="auto" w:before="89"/>
        <w:ind w:left="2655" w:right="2306" w:firstLine="604"/>
        <w:jc w:val="left"/>
        <w:rPr>
          <w:b/>
          <w:sz w:val="24"/>
        </w:rPr>
      </w:pPr>
      <w:r>
        <w:rPr>
          <w:b/>
          <w:i/>
          <w:color w:val="231F20"/>
          <w:sz w:val="24"/>
        </w:rPr>
        <w:t>Connectivity </w:t>
      </w:r>
      <w:r>
        <w:rPr>
          <w:b/>
          <w:color w:val="231F20"/>
          <w:sz w:val="24"/>
        </w:rPr>
        <w:t>Level 4 Optional</w:t>
      </w:r>
      <w:r>
        <w:rPr>
          <w:b/>
          <w:color w:val="231F20"/>
          <w:spacing w:val="-19"/>
          <w:sz w:val="24"/>
        </w:rPr>
        <w:t> </w:t>
      </w:r>
      <w:r>
        <w:rPr>
          <w:b/>
          <w:color w:val="231F20"/>
          <w:sz w:val="24"/>
        </w:rPr>
        <w:t>Speaking</w:t>
      </w:r>
      <w:r>
        <w:rPr>
          <w:b/>
          <w:color w:val="231F20"/>
          <w:spacing w:val="-17"/>
          <w:sz w:val="24"/>
        </w:rPr>
        <w:t> </w:t>
      </w:r>
      <w:r>
        <w:rPr>
          <w:b/>
          <w:color w:val="231F20"/>
          <w:sz w:val="24"/>
        </w:rPr>
        <w:t>Task</w:t>
      </w:r>
      <w:r>
        <w:rPr>
          <w:b/>
          <w:color w:val="231F20"/>
          <w:spacing w:val="-16"/>
          <w:sz w:val="24"/>
        </w:rPr>
        <w:t> </w:t>
      </w:r>
      <w:r>
        <w:rPr>
          <w:b/>
          <w:color w:val="231F20"/>
          <w:sz w:val="24"/>
        </w:rPr>
        <w:t>Rubric</w:t>
      </w:r>
    </w:p>
    <w:p>
      <w:pPr>
        <w:pStyle w:val="BodyText"/>
        <w:rPr>
          <w:b/>
          <w:sz w:val="28"/>
        </w:rPr>
      </w:pPr>
    </w:p>
    <w:p>
      <w:pPr>
        <w:tabs>
          <w:tab w:pos="2662" w:val="left" w:leader="none"/>
          <w:tab w:pos="5099" w:val="left" w:leader="none"/>
          <w:tab w:pos="8713" w:val="left" w:leader="none"/>
        </w:tabs>
        <w:spacing w:before="199"/>
        <w:ind w:left="100" w:right="0" w:firstLine="0"/>
        <w:jc w:val="left"/>
        <w:rPr>
          <w:b/>
          <w:sz w:val="22"/>
        </w:rPr>
      </w:pPr>
      <w:r>
        <w:rPr>
          <w:b/>
          <w:color w:val="231F20"/>
          <w:sz w:val="22"/>
        </w:rPr>
        <w:t>Unit: </w:t>
      </w:r>
      <w:r>
        <w:rPr>
          <w:b/>
          <w:color w:val="231F20"/>
          <w:sz w:val="22"/>
          <w:u w:val="single" w:color="231F20"/>
        </w:rPr>
        <w:tab/>
      </w:r>
      <w:r>
        <w:rPr>
          <w:b/>
          <w:color w:val="231F20"/>
          <w:sz w:val="22"/>
        </w:rPr>
        <w:tab/>
        <w:t>Student Name: </w:t>
      </w:r>
      <w:r>
        <w:rPr>
          <w:b/>
          <w:color w:val="231F20"/>
          <w:sz w:val="22"/>
          <w:u w:val="single" w:color="231F20"/>
        </w:rPr>
        <w:tab/>
      </w:r>
    </w:p>
    <w:p>
      <w:pPr>
        <w:tabs>
          <w:tab w:pos="3004" w:val="left" w:leader="none"/>
          <w:tab w:pos="5099" w:val="left" w:leader="none"/>
          <w:tab w:pos="7711" w:val="left" w:leader="none"/>
        </w:tabs>
        <w:spacing w:line="436" w:lineRule="auto" w:before="207"/>
        <w:ind w:left="100" w:right="1126" w:firstLine="0"/>
        <w:jc w:val="left"/>
        <w:rPr>
          <w:b/>
          <w:sz w:val="22"/>
        </w:rPr>
      </w:pPr>
      <w:r>
        <w:rPr>
          <w:b/>
          <w:color w:val="231F20"/>
          <w:sz w:val="22"/>
        </w:rPr>
        <w:t>Lesson: </w:t>
      </w:r>
      <w:r>
        <w:rPr>
          <w:b/>
          <w:color w:val="231F20"/>
          <w:sz w:val="22"/>
          <w:u w:val="single" w:color="231F20"/>
        </w:rPr>
        <w:tab/>
      </w:r>
      <w:r>
        <w:rPr>
          <w:b/>
          <w:color w:val="231F20"/>
          <w:sz w:val="22"/>
        </w:rPr>
        <w:tab/>
        <w:t>Date: </w:t>
      </w:r>
      <w:r>
        <w:rPr>
          <w:b/>
          <w:color w:val="231F20"/>
          <w:sz w:val="22"/>
          <w:u w:val="single" w:color="231F20"/>
        </w:rPr>
        <w:tab/>
      </w:r>
      <w:r>
        <w:rPr>
          <w:b/>
          <w:color w:val="231F20"/>
          <w:sz w:val="22"/>
        </w:rPr>
        <w:t> Learning Objectives:</w:t>
      </w:r>
    </w:p>
    <w:p>
      <w:pPr>
        <w:pStyle w:val="BodyText"/>
        <w:spacing w:before="7"/>
        <w:rPr>
          <w:b/>
          <w:sz w:val="19"/>
        </w:rPr>
      </w:pPr>
    </w:p>
    <w:tbl>
      <w:tblPr>
        <w:tblW w:w="0" w:type="auto"/>
        <w:jc w:val="left"/>
        <w:tblInd w:w="110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400"/>
        <w:gridCol w:w="740"/>
        <w:gridCol w:w="740"/>
        <w:gridCol w:w="740"/>
      </w:tblGrid>
      <w:tr>
        <w:trPr>
          <w:trHeight w:val="337" w:hRule="atLeast"/>
        </w:trPr>
        <w:tc>
          <w:tcPr>
            <w:tcW w:w="6400" w:type="dxa"/>
            <w:shd w:val="clear" w:color="auto" w:fill="D1D3D4"/>
          </w:tcPr>
          <w:p>
            <w:pPr>
              <w:pStyle w:val="TableParagraph"/>
              <w:ind w:left="80"/>
              <w:jc w:val="left"/>
              <w:rPr>
                <w:b/>
                <w:sz w:val="22"/>
              </w:rPr>
            </w:pPr>
            <w:r>
              <w:rPr>
                <w:b/>
                <w:color w:val="231F20"/>
                <w:sz w:val="22"/>
              </w:rPr>
              <w:t>SPOKEN</w:t>
            </w:r>
            <w:r>
              <w:rPr>
                <w:b/>
                <w:color w:val="231F20"/>
                <w:spacing w:val="-14"/>
                <w:sz w:val="22"/>
              </w:rPr>
              <w:t> </w:t>
            </w:r>
            <w:r>
              <w:rPr>
                <w:b/>
                <w:color w:val="231F20"/>
                <w:sz w:val="22"/>
              </w:rPr>
              <w:t>PRODUCTION</w:t>
            </w:r>
            <w:r>
              <w:rPr>
                <w:b/>
                <w:color w:val="231F20"/>
                <w:spacing w:val="-15"/>
                <w:sz w:val="22"/>
              </w:rPr>
              <w:t> </w:t>
            </w:r>
            <w:r>
              <w:rPr>
                <w:b/>
                <w:color w:val="231F20"/>
                <w:sz w:val="22"/>
              </w:rPr>
              <w:t>AND</w:t>
            </w:r>
            <w:r>
              <w:rPr>
                <w:b/>
                <w:color w:val="231F20"/>
                <w:spacing w:val="-11"/>
                <w:sz w:val="22"/>
              </w:rPr>
              <w:t> </w:t>
            </w:r>
            <w:r>
              <w:rPr>
                <w:b/>
                <w:color w:val="231F20"/>
                <w:spacing w:val="-2"/>
                <w:sz w:val="22"/>
              </w:rPr>
              <w:t>FLUENCY</w:t>
            </w:r>
          </w:p>
        </w:tc>
        <w:tc>
          <w:tcPr>
            <w:tcW w:w="740" w:type="dxa"/>
          </w:tcPr>
          <w:p>
            <w:pPr>
              <w:pStyle w:val="TableParagraph"/>
              <w:ind w:left="70" w:right="60"/>
              <w:rPr>
                <w:b/>
                <w:sz w:val="22"/>
              </w:rPr>
            </w:pPr>
            <w:r>
              <w:rPr>
                <w:b/>
                <w:color w:val="231F20"/>
                <w:spacing w:val="-4"/>
                <w:sz w:val="22"/>
              </w:rPr>
              <w:t>Good</w:t>
            </w:r>
          </w:p>
        </w:tc>
        <w:tc>
          <w:tcPr>
            <w:tcW w:w="740" w:type="dxa"/>
          </w:tcPr>
          <w:p>
            <w:pPr>
              <w:pStyle w:val="TableParagraph"/>
              <w:ind w:left="70" w:right="60"/>
              <w:rPr>
                <w:b/>
                <w:sz w:val="22"/>
              </w:rPr>
            </w:pPr>
            <w:r>
              <w:rPr>
                <w:b/>
                <w:color w:val="231F20"/>
                <w:spacing w:val="-4"/>
                <w:sz w:val="22"/>
              </w:rPr>
              <w:t>Fair</w:t>
            </w:r>
          </w:p>
        </w:tc>
        <w:tc>
          <w:tcPr>
            <w:tcW w:w="740" w:type="dxa"/>
          </w:tcPr>
          <w:p>
            <w:pPr>
              <w:pStyle w:val="TableParagraph"/>
              <w:ind w:left="70" w:right="60"/>
              <w:rPr>
                <w:b/>
                <w:sz w:val="22"/>
              </w:rPr>
            </w:pPr>
            <w:r>
              <w:rPr>
                <w:b/>
                <w:color w:val="231F20"/>
                <w:spacing w:val="-4"/>
                <w:sz w:val="22"/>
              </w:rPr>
              <w:t>Poor</w:t>
            </w:r>
          </w:p>
        </w:tc>
      </w:tr>
      <w:tr>
        <w:trPr>
          <w:trHeight w:val="597" w:hRule="atLeast"/>
        </w:trPr>
        <w:tc>
          <w:tcPr>
            <w:tcW w:w="6400" w:type="dxa"/>
          </w:tcPr>
          <w:p>
            <w:pPr>
              <w:pStyle w:val="TableParagraph"/>
              <w:spacing w:line="247" w:lineRule="auto"/>
              <w:ind w:left="80" w:right="412"/>
              <w:jc w:val="left"/>
              <w:rPr>
                <w:sz w:val="22"/>
              </w:rPr>
            </w:pPr>
            <w:r>
              <w:rPr>
                <w:color w:val="231F20"/>
                <w:sz w:val="22"/>
              </w:rPr>
              <w:t>Can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present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clearly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focused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information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and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points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of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view using extended stretches of language</w:t>
            </w:r>
          </w:p>
        </w:tc>
        <w:tc>
          <w:tcPr>
            <w:tcW w:w="740" w:type="dxa"/>
          </w:tcPr>
          <w:p>
            <w:pPr>
              <w:pStyle w:val="TableParagraph"/>
              <w:ind w:left="10"/>
              <w:rPr>
                <w:sz w:val="22"/>
              </w:rPr>
            </w:pPr>
            <w:r>
              <w:rPr>
                <w:color w:val="231F20"/>
                <w:w w:val="99"/>
                <w:sz w:val="22"/>
              </w:rPr>
              <w:t>3</w:t>
            </w:r>
          </w:p>
        </w:tc>
        <w:tc>
          <w:tcPr>
            <w:tcW w:w="740" w:type="dxa"/>
          </w:tcPr>
          <w:p>
            <w:pPr>
              <w:pStyle w:val="TableParagraph"/>
              <w:ind w:left="10"/>
              <w:rPr>
                <w:sz w:val="22"/>
              </w:rPr>
            </w:pPr>
            <w:r>
              <w:rPr>
                <w:color w:val="231F20"/>
                <w:w w:val="99"/>
                <w:sz w:val="22"/>
              </w:rPr>
              <w:t>2</w:t>
            </w:r>
          </w:p>
        </w:tc>
        <w:tc>
          <w:tcPr>
            <w:tcW w:w="740" w:type="dxa"/>
          </w:tcPr>
          <w:p>
            <w:pPr>
              <w:pStyle w:val="TableParagraph"/>
              <w:ind w:left="10"/>
              <w:rPr>
                <w:sz w:val="22"/>
              </w:rPr>
            </w:pPr>
            <w:r>
              <w:rPr>
                <w:color w:val="231F20"/>
                <w:w w:val="99"/>
                <w:sz w:val="22"/>
              </w:rPr>
              <w:t>1</w:t>
            </w:r>
          </w:p>
        </w:tc>
      </w:tr>
      <w:tr>
        <w:trPr>
          <w:trHeight w:val="597" w:hRule="atLeast"/>
        </w:trPr>
        <w:tc>
          <w:tcPr>
            <w:tcW w:w="6400" w:type="dxa"/>
          </w:tcPr>
          <w:p>
            <w:pPr>
              <w:pStyle w:val="TableParagraph"/>
              <w:spacing w:line="247" w:lineRule="auto"/>
              <w:ind w:left="80"/>
              <w:jc w:val="left"/>
              <w:rPr>
                <w:sz w:val="22"/>
              </w:rPr>
            </w:pPr>
            <w:r>
              <w:rPr>
                <w:color w:val="231F20"/>
                <w:sz w:val="22"/>
              </w:rPr>
              <w:t>Can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talk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about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a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variety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of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topics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and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effectively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connect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ideas and arguments with complex language</w:t>
            </w:r>
          </w:p>
        </w:tc>
        <w:tc>
          <w:tcPr>
            <w:tcW w:w="740" w:type="dxa"/>
          </w:tcPr>
          <w:p>
            <w:pPr>
              <w:pStyle w:val="TableParagraph"/>
              <w:ind w:left="10"/>
              <w:rPr>
                <w:sz w:val="22"/>
              </w:rPr>
            </w:pPr>
            <w:r>
              <w:rPr>
                <w:color w:val="231F20"/>
                <w:w w:val="99"/>
                <w:sz w:val="22"/>
              </w:rPr>
              <w:t>3</w:t>
            </w:r>
          </w:p>
        </w:tc>
        <w:tc>
          <w:tcPr>
            <w:tcW w:w="740" w:type="dxa"/>
          </w:tcPr>
          <w:p>
            <w:pPr>
              <w:pStyle w:val="TableParagraph"/>
              <w:ind w:left="11"/>
              <w:rPr>
                <w:sz w:val="22"/>
              </w:rPr>
            </w:pPr>
            <w:r>
              <w:rPr>
                <w:color w:val="231F20"/>
                <w:w w:val="99"/>
                <w:sz w:val="22"/>
              </w:rPr>
              <w:t>2</w:t>
            </w:r>
          </w:p>
        </w:tc>
        <w:tc>
          <w:tcPr>
            <w:tcW w:w="740" w:type="dxa"/>
          </w:tcPr>
          <w:p>
            <w:pPr>
              <w:pStyle w:val="TableParagraph"/>
              <w:ind w:left="11"/>
              <w:rPr>
                <w:sz w:val="22"/>
              </w:rPr>
            </w:pPr>
            <w:r>
              <w:rPr>
                <w:color w:val="231F20"/>
                <w:w w:val="99"/>
                <w:sz w:val="22"/>
              </w:rPr>
              <w:t>1</w:t>
            </w:r>
          </w:p>
        </w:tc>
      </w:tr>
      <w:tr>
        <w:trPr>
          <w:trHeight w:val="597" w:hRule="atLeast"/>
        </w:trPr>
        <w:tc>
          <w:tcPr>
            <w:tcW w:w="6400" w:type="dxa"/>
          </w:tcPr>
          <w:p>
            <w:pPr>
              <w:pStyle w:val="TableParagraph"/>
              <w:spacing w:line="247" w:lineRule="auto"/>
              <w:ind w:left="80"/>
              <w:jc w:val="left"/>
              <w:rPr>
                <w:sz w:val="22"/>
              </w:rPr>
            </w:pPr>
            <w:r>
              <w:rPr>
                <w:color w:val="231F20"/>
                <w:sz w:val="22"/>
              </w:rPr>
              <w:t>Has</w:t>
            </w:r>
            <w:r>
              <w:rPr>
                <w:color w:val="231F20"/>
                <w:spacing w:val="-6"/>
                <w:sz w:val="22"/>
              </w:rPr>
              <w:t> </w:t>
            </w:r>
            <w:r>
              <w:rPr>
                <w:color w:val="231F20"/>
                <w:sz w:val="22"/>
              </w:rPr>
              <w:t>occasional</w:t>
            </w:r>
            <w:r>
              <w:rPr>
                <w:color w:val="231F20"/>
                <w:spacing w:val="-6"/>
                <w:sz w:val="22"/>
              </w:rPr>
              <w:t> </w:t>
            </w:r>
            <w:r>
              <w:rPr>
                <w:color w:val="231F20"/>
                <w:sz w:val="22"/>
              </w:rPr>
              <w:t>hesitation</w:t>
            </w:r>
            <w:r>
              <w:rPr>
                <w:color w:val="231F20"/>
                <w:spacing w:val="-6"/>
                <w:sz w:val="22"/>
              </w:rPr>
              <w:t> </w:t>
            </w:r>
            <w:r>
              <w:rPr>
                <w:color w:val="231F20"/>
                <w:sz w:val="22"/>
              </w:rPr>
              <w:t>and</w:t>
            </w:r>
            <w:r>
              <w:rPr>
                <w:color w:val="231F20"/>
                <w:spacing w:val="-6"/>
                <w:sz w:val="22"/>
              </w:rPr>
              <w:t> </w:t>
            </w:r>
            <w:r>
              <w:rPr>
                <w:color w:val="231F20"/>
                <w:sz w:val="22"/>
              </w:rPr>
              <w:t>contributions</w:t>
            </w:r>
            <w:r>
              <w:rPr>
                <w:color w:val="231F20"/>
                <w:spacing w:val="-6"/>
                <w:sz w:val="22"/>
              </w:rPr>
              <w:t> </w:t>
            </w:r>
            <w:r>
              <w:rPr>
                <w:color w:val="231F20"/>
                <w:sz w:val="22"/>
              </w:rPr>
              <w:t>are</w:t>
            </w:r>
            <w:r>
              <w:rPr>
                <w:color w:val="231F20"/>
                <w:spacing w:val="-6"/>
                <w:sz w:val="22"/>
              </w:rPr>
              <w:t> </w:t>
            </w:r>
            <w:r>
              <w:rPr>
                <w:color w:val="231F20"/>
                <w:sz w:val="22"/>
              </w:rPr>
              <w:t>intelligible</w:t>
            </w:r>
            <w:r>
              <w:rPr>
                <w:color w:val="231F20"/>
                <w:spacing w:val="-6"/>
                <w:sz w:val="22"/>
              </w:rPr>
              <w:t> </w:t>
            </w:r>
            <w:r>
              <w:rPr>
                <w:color w:val="231F20"/>
                <w:sz w:val="22"/>
              </w:rPr>
              <w:t>using intonation and stress to convey meaning</w:t>
            </w:r>
          </w:p>
        </w:tc>
        <w:tc>
          <w:tcPr>
            <w:tcW w:w="740" w:type="dxa"/>
          </w:tcPr>
          <w:p>
            <w:pPr>
              <w:pStyle w:val="TableParagraph"/>
              <w:ind w:left="11"/>
              <w:rPr>
                <w:sz w:val="22"/>
              </w:rPr>
            </w:pPr>
            <w:r>
              <w:rPr>
                <w:color w:val="231F20"/>
                <w:w w:val="99"/>
                <w:sz w:val="22"/>
              </w:rPr>
              <w:t>3</w:t>
            </w:r>
          </w:p>
        </w:tc>
        <w:tc>
          <w:tcPr>
            <w:tcW w:w="740" w:type="dxa"/>
          </w:tcPr>
          <w:p>
            <w:pPr>
              <w:pStyle w:val="TableParagraph"/>
              <w:ind w:left="11"/>
              <w:rPr>
                <w:sz w:val="22"/>
              </w:rPr>
            </w:pPr>
            <w:r>
              <w:rPr>
                <w:color w:val="231F20"/>
                <w:w w:val="99"/>
                <w:sz w:val="22"/>
              </w:rPr>
              <w:t>2</w:t>
            </w:r>
          </w:p>
        </w:tc>
        <w:tc>
          <w:tcPr>
            <w:tcW w:w="740" w:type="dxa"/>
          </w:tcPr>
          <w:p>
            <w:pPr>
              <w:pStyle w:val="TableParagraph"/>
              <w:ind w:left="11"/>
              <w:rPr>
                <w:sz w:val="22"/>
              </w:rPr>
            </w:pPr>
            <w:r>
              <w:rPr>
                <w:color w:val="231F20"/>
                <w:w w:val="99"/>
                <w:sz w:val="22"/>
              </w:rPr>
              <w:t>1</w:t>
            </w:r>
          </w:p>
        </w:tc>
      </w:tr>
      <w:tr>
        <w:trPr>
          <w:trHeight w:val="337" w:hRule="atLeast"/>
        </w:trPr>
        <w:tc>
          <w:tcPr>
            <w:tcW w:w="6400" w:type="dxa"/>
            <w:shd w:val="clear" w:color="auto" w:fill="D1D3D4"/>
          </w:tcPr>
          <w:p>
            <w:pPr>
              <w:pStyle w:val="TableParagraph"/>
              <w:ind w:left="80"/>
              <w:jc w:val="left"/>
              <w:rPr>
                <w:b/>
                <w:sz w:val="22"/>
              </w:rPr>
            </w:pPr>
            <w:r>
              <w:rPr>
                <w:b/>
                <w:color w:val="231F20"/>
                <w:sz w:val="22"/>
              </w:rPr>
              <w:t>SPOKEN</w:t>
            </w:r>
            <w:r>
              <w:rPr>
                <w:b/>
                <w:color w:val="231F20"/>
                <w:spacing w:val="-10"/>
                <w:sz w:val="22"/>
              </w:rPr>
              <w:t> </w:t>
            </w:r>
            <w:r>
              <w:rPr>
                <w:b/>
                <w:color w:val="231F20"/>
                <w:spacing w:val="-2"/>
                <w:sz w:val="22"/>
              </w:rPr>
              <w:t>INTERACTION</w:t>
            </w:r>
          </w:p>
        </w:tc>
        <w:tc>
          <w:tcPr>
            <w:tcW w:w="740" w:type="dxa"/>
          </w:tcPr>
          <w:p>
            <w:pPr>
              <w:pStyle w:val="TableParagraph"/>
              <w:spacing w:before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740" w:type="dxa"/>
          </w:tcPr>
          <w:p>
            <w:pPr>
              <w:pStyle w:val="TableParagraph"/>
              <w:spacing w:before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740" w:type="dxa"/>
          </w:tcPr>
          <w:p>
            <w:pPr>
              <w:pStyle w:val="TableParagraph"/>
              <w:spacing w:before="0"/>
              <w:jc w:val="left"/>
              <w:rPr>
                <w:rFonts w:ascii="Times New Roman"/>
                <w:sz w:val="20"/>
              </w:rPr>
            </w:pPr>
          </w:p>
        </w:tc>
      </w:tr>
      <w:tr>
        <w:trPr>
          <w:trHeight w:val="597" w:hRule="atLeast"/>
        </w:trPr>
        <w:tc>
          <w:tcPr>
            <w:tcW w:w="6400" w:type="dxa"/>
          </w:tcPr>
          <w:p>
            <w:pPr>
              <w:pStyle w:val="TableParagraph"/>
              <w:spacing w:line="247" w:lineRule="auto"/>
              <w:ind w:left="80" w:right="412"/>
              <w:jc w:val="left"/>
              <w:rPr>
                <w:sz w:val="22"/>
              </w:rPr>
            </w:pPr>
            <w:r>
              <w:rPr>
                <w:color w:val="231F20"/>
                <w:sz w:val="22"/>
              </w:rPr>
              <w:t>Can</w:t>
            </w:r>
            <w:r>
              <w:rPr>
                <w:color w:val="231F20"/>
                <w:spacing w:val="-4"/>
                <w:sz w:val="22"/>
              </w:rPr>
              <w:t> </w:t>
            </w:r>
            <w:r>
              <w:rPr>
                <w:color w:val="231F20"/>
                <w:sz w:val="22"/>
              </w:rPr>
              <w:t>open</w:t>
            </w:r>
            <w:r>
              <w:rPr>
                <w:color w:val="231F20"/>
                <w:spacing w:val="-4"/>
                <w:sz w:val="22"/>
              </w:rPr>
              <w:t> </w:t>
            </w:r>
            <w:r>
              <w:rPr>
                <w:color w:val="231F20"/>
                <w:sz w:val="22"/>
              </w:rPr>
              <w:t>or</w:t>
            </w:r>
            <w:r>
              <w:rPr>
                <w:color w:val="231F20"/>
                <w:spacing w:val="-4"/>
                <w:sz w:val="22"/>
              </w:rPr>
              <w:t> </w:t>
            </w:r>
            <w:r>
              <w:rPr>
                <w:color w:val="231F20"/>
                <w:sz w:val="22"/>
              </w:rPr>
              <w:t>take</w:t>
            </w:r>
            <w:r>
              <w:rPr>
                <w:color w:val="231F20"/>
                <w:spacing w:val="-4"/>
                <w:sz w:val="22"/>
              </w:rPr>
              <w:t> </w:t>
            </w:r>
            <w:r>
              <w:rPr>
                <w:color w:val="231F20"/>
                <w:sz w:val="22"/>
              </w:rPr>
              <w:t>the</w:t>
            </w:r>
            <w:r>
              <w:rPr>
                <w:color w:val="231F20"/>
                <w:spacing w:val="-4"/>
                <w:sz w:val="22"/>
              </w:rPr>
              <w:t> </w:t>
            </w:r>
            <w:r>
              <w:rPr>
                <w:color w:val="231F20"/>
                <w:sz w:val="22"/>
              </w:rPr>
              <w:t>lead</w:t>
            </w:r>
            <w:r>
              <w:rPr>
                <w:color w:val="231F20"/>
                <w:spacing w:val="-4"/>
                <w:sz w:val="22"/>
              </w:rPr>
              <w:t> </w:t>
            </w:r>
            <w:r>
              <w:rPr>
                <w:color w:val="231F20"/>
                <w:sz w:val="22"/>
              </w:rPr>
              <w:t>in</w:t>
            </w:r>
            <w:r>
              <w:rPr>
                <w:color w:val="231F20"/>
                <w:spacing w:val="-4"/>
                <w:sz w:val="22"/>
              </w:rPr>
              <w:t> </w:t>
            </w:r>
            <w:r>
              <w:rPr>
                <w:color w:val="231F20"/>
                <w:sz w:val="22"/>
              </w:rPr>
              <w:t>an</w:t>
            </w:r>
            <w:r>
              <w:rPr>
                <w:color w:val="231F20"/>
                <w:spacing w:val="-4"/>
                <w:sz w:val="22"/>
              </w:rPr>
              <w:t> </w:t>
            </w:r>
            <w:r>
              <w:rPr>
                <w:color w:val="231F20"/>
                <w:sz w:val="22"/>
              </w:rPr>
              <w:t>exchange</w:t>
            </w:r>
            <w:r>
              <w:rPr>
                <w:color w:val="231F20"/>
                <w:spacing w:val="-4"/>
                <w:sz w:val="22"/>
              </w:rPr>
              <w:t> </w:t>
            </w:r>
            <w:r>
              <w:rPr>
                <w:color w:val="231F20"/>
                <w:sz w:val="22"/>
              </w:rPr>
              <w:t>and</w:t>
            </w:r>
            <w:r>
              <w:rPr>
                <w:color w:val="231F20"/>
                <w:spacing w:val="-4"/>
                <w:sz w:val="22"/>
              </w:rPr>
              <w:t> </w:t>
            </w:r>
            <w:r>
              <w:rPr>
                <w:color w:val="231F20"/>
                <w:sz w:val="22"/>
              </w:rPr>
              <w:t>is</w:t>
            </w:r>
            <w:r>
              <w:rPr>
                <w:color w:val="231F20"/>
                <w:spacing w:val="-4"/>
                <w:sz w:val="22"/>
              </w:rPr>
              <w:t> </w:t>
            </w:r>
            <w:r>
              <w:rPr>
                <w:color w:val="231F20"/>
                <w:sz w:val="22"/>
              </w:rPr>
              <w:t>sensitive</w:t>
            </w:r>
            <w:r>
              <w:rPr>
                <w:color w:val="231F20"/>
                <w:spacing w:val="-4"/>
                <w:sz w:val="22"/>
              </w:rPr>
              <w:t> </w:t>
            </w:r>
            <w:r>
              <w:rPr>
                <w:color w:val="231F20"/>
                <w:sz w:val="22"/>
              </w:rPr>
              <w:t>to </w:t>
            </w:r>
            <w:r>
              <w:rPr>
                <w:color w:val="231F20"/>
                <w:spacing w:val="-2"/>
                <w:sz w:val="22"/>
              </w:rPr>
              <w:t>turn-taking</w:t>
            </w:r>
          </w:p>
        </w:tc>
        <w:tc>
          <w:tcPr>
            <w:tcW w:w="740" w:type="dxa"/>
          </w:tcPr>
          <w:p>
            <w:pPr>
              <w:pStyle w:val="TableParagraph"/>
              <w:ind w:left="11"/>
              <w:rPr>
                <w:sz w:val="22"/>
              </w:rPr>
            </w:pPr>
            <w:r>
              <w:rPr>
                <w:color w:val="231F20"/>
                <w:w w:val="99"/>
                <w:sz w:val="22"/>
              </w:rPr>
              <w:t>3</w:t>
            </w:r>
          </w:p>
        </w:tc>
        <w:tc>
          <w:tcPr>
            <w:tcW w:w="740" w:type="dxa"/>
          </w:tcPr>
          <w:p>
            <w:pPr>
              <w:pStyle w:val="TableParagraph"/>
              <w:ind w:left="11"/>
              <w:rPr>
                <w:sz w:val="22"/>
              </w:rPr>
            </w:pPr>
            <w:r>
              <w:rPr>
                <w:color w:val="231F20"/>
                <w:w w:val="99"/>
                <w:sz w:val="22"/>
              </w:rPr>
              <w:t>2</w:t>
            </w:r>
          </w:p>
        </w:tc>
        <w:tc>
          <w:tcPr>
            <w:tcW w:w="740" w:type="dxa"/>
          </w:tcPr>
          <w:p>
            <w:pPr>
              <w:pStyle w:val="TableParagraph"/>
              <w:ind w:left="12"/>
              <w:rPr>
                <w:sz w:val="22"/>
              </w:rPr>
            </w:pPr>
            <w:r>
              <w:rPr>
                <w:color w:val="231F20"/>
                <w:w w:val="99"/>
                <w:sz w:val="22"/>
              </w:rPr>
              <w:t>1</w:t>
            </w:r>
          </w:p>
        </w:tc>
      </w:tr>
      <w:tr>
        <w:trPr>
          <w:trHeight w:val="597" w:hRule="atLeast"/>
        </w:trPr>
        <w:tc>
          <w:tcPr>
            <w:tcW w:w="6400" w:type="dxa"/>
          </w:tcPr>
          <w:p>
            <w:pPr>
              <w:pStyle w:val="TableParagraph"/>
              <w:spacing w:line="247" w:lineRule="auto"/>
              <w:ind w:left="81"/>
              <w:jc w:val="left"/>
              <w:rPr>
                <w:sz w:val="22"/>
              </w:rPr>
            </w:pPr>
            <w:r>
              <w:rPr>
                <w:color w:val="231F20"/>
                <w:sz w:val="22"/>
              </w:rPr>
              <w:t>Can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express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ideas,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including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abstract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ideas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and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opinions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with </w:t>
            </w:r>
            <w:r>
              <w:rPr>
                <w:color w:val="231F20"/>
                <w:spacing w:val="-2"/>
                <w:sz w:val="22"/>
              </w:rPr>
              <w:t>precision</w:t>
            </w:r>
          </w:p>
        </w:tc>
        <w:tc>
          <w:tcPr>
            <w:tcW w:w="740" w:type="dxa"/>
          </w:tcPr>
          <w:p>
            <w:pPr>
              <w:pStyle w:val="TableParagraph"/>
              <w:ind w:left="12"/>
              <w:rPr>
                <w:sz w:val="22"/>
              </w:rPr>
            </w:pPr>
            <w:r>
              <w:rPr>
                <w:color w:val="231F20"/>
                <w:w w:val="99"/>
                <w:sz w:val="22"/>
              </w:rPr>
              <w:t>3</w:t>
            </w:r>
          </w:p>
        </w:tc>
        <w:tc>
          <w:tcPr>
            <w:tcW w:w="740" w:type="dxa"/>
          </w:tcPr>
          <w:p>
            <w:pPr>
              <w:pStyle w:val="TableParagraph"/>
              <w:ind w:left="12"/>
              <w:rPr>
                <w:sz w:val="22"/>
              </w:rPr>
            </w:pPr>
            <w:r>
              <w:rPr>
                <w:color w:val="231F20"/>
                <w:w w:val="99"/>
                <w:sz w:val="22"/>
              </w:rPr>
              <w:t>2</w:t>
            </w:r>
          </w:p>
        </w:tc>
        <w:tc>
          <w:tcPr>
            <w:tcW w:w="740" w:type="dxa"/>
          </w:tcPr>
          <w:p>
            <w:pPr>
              <w:pStyle w:val="TableParagraph"/>
              <w:ind w:left="12"/>
              <w:rPr>
                <w:sz w:val="22"/>
              </w:rPr>
            </w:pPr>
            <w:r>
              <w:rPr>
                <w:color w:val="231F20"/>
                <w:w w:val="99"/>
                <w:sz w:val="22"/>
              </w:rPr>
              <w:t>1</w:t>
            </w:r>
          </w:p>
        </w:tc>
      </w:tr>
      <w:tr>
        <w:trPr>
          <w:trHeight w:val="597" w:hRule="atLeast"/>
        </w:trPr>
        <w:tc>
          <w:tcPr>
            <w:tcW w:w="6400" w:type="dxa"/>
          </w:tcPr>
          <w:p>
            <w:pPr>
              <w:pStyle w:val="TableParagraph"/>
              <w:spacing w:line="247" w:lineRule="auto"/>
              <w:ind w:left="81"/>
              <w:jc w:val="left"/>
              <w:rPr>
                <w:sz w:val="22"/>
              </w:rPr>
            </w:pPr>
            <w:r>
              <w:rPr>
                <w:color w:val="231F20"/>
                <w:sz w:val="22"/>
              </w:rPr>
              <w:t>Can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present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and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respond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to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complex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or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hypothetical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lines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of argument convincingly</w:t>
            </w:r>
          </w:p>
        </w:tc>
        <w:tc>
          <w:tcPr>
            <w:tcW w:w="740" w:type="dxa"/>
          </w:tcPr>
          <w:p>
            <w:pPr>
              <w:pStyle w:val="TableParagraph"/>
              <w:ind w:left="12"/>
              <w:rPr>
                <w:sz w:val="22"/>
              </w:rPr>
            </w:pPr>
            <w:r>
              <w:rPr>
                <w:color w:val="231F20"/>
                <w:w w:val="99"/>
                <w:sz w:val="22"/>
              </w:rPr>
              <w:t>3</w:t>
            </w:r>
          </w:p>
        </w:tc>
        <w:tc>
          <w:tcPr>
            <w:tcW w:w="740" w:type="dxa"/>
          </w:tcPr>
          <w:p>
            <w:pPr>
              <w:pStyle w:val="TableParagraph"/>
              <w:ind w:left="12"/>
              <w:rPr>
                <w:sz w:val="22"/>
              </w:rPr>
            </w:pPr>
            <w:r>
              <w:rPr>
                <w:color w:val="231F20"/>
                <w:w w:val="99"/>
                <w:sz w:val="22"/>
              </w:rPr>
              <w:t>2</w:t>
            </w:r>
          </w:p>
        </w:tc>
        <w:tc>
          <w:tcPr>
            <w:tcW w:w="740" w:type="dxa"/>
          </w:tcPr>
          <w:p>
            <w:pPr>
              <w:pStyle w:val="TableParagraph"/>
              <w:ind w:left="12"/>
              <w:rPr>
                <w:sz w:val="22"/>
              </w:rPr>
            </w:pPr>
            <w:r>
              <w:rPr>
                <w:color w:val="231F20"/>
                <w:w w:val="99"/>
                <w:sz w:val="22"/>
              </w:rPr>
              <w:t>1</w:t>
            </w:r>
          </w:p>
        </w:tc>
      </w:tr>
      <w:tr>
        <w:trPr>
          <w:trHeight w:val="597" w:hRule="atLeast"/>
        </w:trPr>
        <w:tc>
          <w:tcPr>
            <w:tcW w:w="6400" w:type="dxa"/>
          </w:tcPr>
          <w:p>
            <w:pPr>
              <w:pStyle w:val="TableParagraph"/>
              <w:spacing w:line="247" w:lineRule="auto"/>
              <w:ind w:left="81"/>
              <w:jc w:val="left"/>
              <w:rPr>
                <w:sz w:val="22"/>
              </w:rPr>
            </w:pPr>
            <w:r>
              <w:rPr>
                <w:color w:val="231F20"/>
                <w:sz w:val="22"/>
              </w:rPr>
              <w:t>Can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help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develop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discussions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by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following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up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statements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and </w:t>
            </w:r>
            <w:r>
              <w:rPr>
                <w:color w:val="231F20"/>
                <w:spacing w:val="-2"/>
                <w:sz w:val="22"/>
              </w:rPr>
              <w:t>inferences</w:t>
            </w:r>
          </w:p>
        </w:tc>
        <w:tc>
          <w:tcPr>
            <w:tcW w:w="740" w:type="dxa"/>
          </w:tcPr>
          <w:p>
            <w:pPr>
              <w:pStyle w:val="TableParagraph"/>
              <w:ind w:left="13"/>
              <w:rPr>
                <w:sz w:val="22"/>
              </w:rPr>
            </w:pPr>
            <w:r>
              <w:rPr>
                <w:color w:val="231F20"/>
                <w:w w:val="99"/>
                <w:sz w:val="22"/>
              </w:rPr>
              <w:t>3</w:t>
            </w:r>
          </w:p>
        </w:tc>
        <w:tc>
          <w:tcPr>
            <w:tcW w:w="740" w:type="dxa"/>
          </w:tcPr>
          <w:p>
            <w:pPr>
              <w:pStyle w:val="TableParagraph"/>
              <w:ind w:left="13"/>
              <w:rPr>
                <w:sz w:val="22"/>
              </w:rPr>
            </w:pPr>
            <w:r>
              <w:rPr>
                <w:color w:val="231F20"/>
                <w:w w:val="99"/>
                <w:sz w:val="22"/>
              </w:rPr>
              <w:t>2</w:t>
            </w:r>
          </w:p>
        </w:tc>
        <w:tc>
          <w:tcPr>
            <w:tcW w:w="740" w:type="dxa"/>
          </w:tcPr>
          <w:p>
            <w:pPr>
              <w:pStyle w:val="TableParagraph"/>
              <w:ind w:left="13"/>
              <w:rPr>
                <w:sz w:val="22"/>
              </w:rPr>
            </w:pPr>
            <w:r>
              <w:rPr>
                <w:color w:val="231F20"/>
                <w:w w:val="99"/>
                <w:sz w:val="22"/>
              </w:rPr>
              <w:t>1</w:t>
            </w:r>
          </w:p>
        </w:tc>
      </w:tr>
      <w:tr>
        <w:trPr>
          <w:trHeight w:val="597" w:hRule="atLeast"/>
        </w:trPr>
        <w:tc>
          <w:tcPr>
            <w:tcW w:w="6400" w:type="dxa"/>
          </w:tcPr>
          <w:p>
            <w:pPr>
              <w:pStyle w:val="TableParagraph"/>
              <w:spacing w:line="247" w:lineRule="auto"/>
              <w:ind w:left="81" w:right="57"/>
              <w:jc w:val="left"/>
              <w:rPr>
                <w:sz w:val="22"/>
              </w:rPr>
            </w:pPr>
            <w:r>
              <w:rPr>
                <w:color w:val="231F20"/>
                <w:sz w:val="22"/>
              </w:rPr>
              <w:t>Can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select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language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appropriate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to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the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context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and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audience and paraphrase where necessary</w:t>
            </w:r>
          </w:p>
        </w:tc>
        <w:tc>
          <w:tcPr>
            <w:tcW w:w="740" w:type="dxa"/>
          </w:tcPr>
          <w:p>
            <w:pPr>
              <w:pStyle w:val="TableParagraph"/>
              <w:ind w:left="13"/>
              <w:rPr>
                <w:sz w:val="22"/>
              </w:rPr>
            </w:pPr>
            <w:r>
              <w:rPr>
                <w:color w:val="231F20"/>
                <w:w w:val="99"/>
                <w:sz w:val="22"/>
              </w:rPr>
              <w:t>3</w:t>
            </w:r>
          </w:p>
        </w:tc>
        <w:tc>
          <w:tcPr>
            <w:tcW w:w="740" w:type="dxa"/>
          </w:tcPr>
          <w:p>
            <w:pPr>
              <w:pStyle w:val="TableParagraph"/>
              <w:ind w:left="13"/>
              <w:rPr>
                <w:sz w:val="22"/>
              </w:rPr>
            </w:pPr>
            <w:r>
              <w:rPr>
                <w:color w:val="231F20"/>
                <w:w w:val="99"/>
                <w:sz w:val="22"/>
              </w:rPr>
              <w:t>2</w:t>
            </w:r>
          </w:p>
        </w:tc>
        <w:tc>
          <w:tcPr>
            <w:tcW w:w="740" w:type="dxa"/>
          </w:tcPr>
          <w:p>
            <w:pPr>
              <w:pStyle w:val="TableParagraph"/>
              <w:ind w:left="13"/>
              <w:rPr>
                <w:sz w:val="22"/>
              </w:rPr>
            </w:pPr>
            <w:r>
              <w:rPr>
                <w:color w:val="231F20"/>
                <w:w w:val="99"/>
                <w:sz w:val="22"/>
              </w:rPr>
              <w:t>1</w:t>
            </w:r>
          </w:p>
        </w:tc>
      </w:tr>
      <w:tr>
        <w:trPr>
          <w:trHeight w:val="337" w:hRule="atLeast"/>
        </w:trPr>
        <w:tc>
          <w:tcPr>
            <w:tcW w:w="6400" w:type="dxa"/>
            <w:shd w:val="clear" w:color="auto" w:fill="D1D3D4"/>
          </w:tcPr>
          <w:p>
            <w:pPr>
              <w:pStyle w:val="TableParagraph"/>
              <w:ind w:left="81"/>
              <w:jc w:val="left"/>
              <w:rPr>
                <w:b/>
                <w:sz w:val="22"/>
              </w:rPr>
            </w:pPr>
            <w:r>
              <w:rPr>
                <w:b/>
                <w:color w:val="231F20"/>
                <w:spacing w:val="-2"/>
                <w:sz w:val="22"/>
              </w:rPr>
              <w:t>RANGE</w:t>
            </w:r>
          </w:p>
        </w:tc>
        <w:tc>
          <w:tcPr>
            <w:tcW w:w="740" w:type="dxa"/>
          </w:tcPr>
          <w:p>
            <w:pPr>
              <w:pStyle w:val="TableParagraph"/>
              <w:spacing w:before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740" w:type="dxa"/>
          </w:tcPr>
          <w:p>
            <w:pPr>
              <w:pStyle w:val="TableParagraph"/>
              <w:spacing w:before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740" w:type="dxa"/>
          </w:tcPr>
          <w:p>
            <w:pPr>
              <w:pStyle w:val="TableParagraph"/>
              <w:spacing w:before="0"/>
              <w:jc w:val="left"/>
              <w:rPr>
                <w:rFonts w:ascii="Times New Roman"/>
                <w:sz w:val="20"/>
              </w:rPr>
            </w:pPr>
          </w:p>
        </w:tc>
      </w:tr>
      <w:tr>
        <w:trPr>
          <w:trHeight w:val="597" w:hRule="atLeast"/>
        </w:trPr>
        <w:tc>
          <w:tcPr>
            <w:tcW w:w="6400" w:type="dxa"/>
          </w:tcPr>
          <w:p>
            <w:pPr>
              <w:pStyle w:val="TableParagraph"/>
              <w:spacing w:line="247" w:lineRule="auto"/>
              <w:ind w:left="81"/>
              <w:jc w:val="left"/>
              <w:rPr>
                <w:sz w:val="22"/>
              </w:rPr>
            </w:pPr>
            <w:r>
              <w:rPr>
                <w:color w:val="231F20"/>
                <w:sz w:val="22"/>
              </w:rPr>
              <w:t>Can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express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ideas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and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opinions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on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unfamiliar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topics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by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using paraphrase to avoid repetition</w:t>
            </w:r>
          </w:p>
        </w:tc>
        <w:tc>
          <w:tcPr>
            <w:tcW w:w="740" w:type="dxa"/>
          </w:tcPr>
          <w:p>
            <w:pPr>
              <w:pStyle w:val="TableParagraph"/>
              <w:ind w:left="13"/>
              <w:rPr>
                <w:sz w:val="22"/>
              </w:rPr>
            </w:pPr>
            <w:r>
              <w:rPr>
                <w:color w:val="231F20"/>
                <w:w w:val="99"/>
                <w:sz w:val="22"/>
              </w:rPr>
              <w:t>3</w:t>
            </w:r>
          </w:p>
        </w:tc>
        <w:tc>
          <w:tcPr>
            <w:tcW w:w="740" w:type="dxa"/>
          </w:tcPr>
          <w:p>
            <w:pPr>
              <w:pStyle w:val="TableParagraph"/>
              <w:ind w:left="14"/>
              <w:rPr>
                <w:sz w:val="22"/>
              </w:rPr>
            </w:pPr>
            <w:r>
              <w:rPr>
                <w:color w:val="231F20"/>
                <w:w w:val="99"/>
                <w:sz w:val="22"/>
              </w:rPr>
              <w:t>2</w:t>
            </w:r>
          </w:p>
        </w:tc>
        <w:tc>
          <w:tcPr>
            <w:tcW w:w="740" w:type="dxa"/>
          </w:tcPr>
          <w:p>
            <w:pPr>
              <w:pStyle w:val="TableParagraph"/>
              <w:ind w:left="14"/>
              <w:rPr>
                <w:sz w:val="22"/>
              </w:rPr>
            </w:pPr>
            <w:r>
              <w:rPr>
                <w:color w:val="231F20"/>
                <w:w w:val="99"/>
                <w:sz w:val="22"/>
              </w:rPr>
              <w:t>1</w:t>
            </w:r>
          </w:p>
        </w:tc>
      </w:tr>
      <w:tr>
        <w:trPr>
          <w:trHeight w:val="597" w:hRule="atLeast"/>
        </w:trPr>
        <w:tc>
          <w:tcPr>
            <w:tcW w:w="6400" w:type="dxa"/>
          </w:tcPr>
          <w:p>
            <w:pPr>
              <w:pStyle w:val="TableParagraph"/>
              <w:spacing w:line="247" w:lineRule="auto"/>
              <w:ind w:left="82"/>
              <w:jc w:val="left"/>
              <w:rPr>
                <w:sz w:val="22"/>
              </w:rPr>
            </w:pPr>
            <w:r>
              <w:rPr>
                <w:color w:val="231F20"/>
                <w:sz w:val="22"/>
              </w:rPr>
              <w:t>Uses</w:t>
            </w:r>
            <w:r>
              <w:rPr>
                <w:color w:val="231F20"/>
                <w:spacing w:val="-7"/>
                <w:sz w:val="22"/>
              </w:rPr>
              <w:t> </w:t>
            </w:r>
            <w:r>
              <w:rPr>
                <w:color w:val="231F20"/>
                <w:sz w:val="22"/>
              </w:rPr>
              <w:t>a</w:t>
            </w:r>
            <w:r>
              <w:rPr>
                <w:color w:val="231F20"/>
                <w:spacing w:val="-7"/>
                <w:sz w:val="22"/>
              </w:rPr>
              <w:t> </w:t>
            </w:r>
            <w:r>
              <w:rPr>
                <w:color w:val="231F20"/>
                <w:sz w:val="22"/>
              </w:rPr>
              <w:t>good</w:t>
            </w:r>
            <w:r>
              <w:rPr>
                <w:color w:val="231F20"/>
                <w:spacing w:val="-7"/>
                <w:sz w:val="22"/>
              </w:rPr>
              <w:t> </w:t>
            </w:r>
            <w:r>
              <w:rPr>
                <w:color w:val="231F20"/>
                <w:sz w:val="22"/>
              </w:rPr>
              <w:t>and</w:t>
            </w:r>
            <w:r>
              <w:rPr>
                <w:color w:val="231F20"/>
                <w:spacing w:val="-7"/>
                <w:sz w:val="22"/>
              </w:rPr>
              <w:t> </w:t>
            </w:r>
            <w:r>
              <w:rPr>
                <w:color w:val="231F20"/>
                <w:sz w:val="22"/>
              </w:rPr>
              <w:t>varied</w:t>
            </w:r>
            <w:r>
              <w:rPr>
                <w:color w:val="231F20"/>
                <w:spacing w:val="-7"/>
                <w:sz w:val="22"/>
              </w:rPr>
              <w:t> </w:t>
            </w:r>
            <w:r>
              <w:rPr>
                <w:color w:val="231F20"/>
                <w:sz w:val="22"/>
              </w:rPr>
              <w:t>range</w:t>
            </w:r>
            <w:r>
              <w:rPr>
                <w:color w:val="231F20"/>
                <w:spacing w:val="-7"/>
                <w:sz w:val="22"/>
              </w:rPr>
              <w:t> </w:t>
            </w:r>
            <w:r>
              <w:rPr>
                <w:color w:val="231F20"/>
                <w:sz w:val="22"/>
              </w:rPr>
              <w:t>of</w:t>
            </w:r>
            <w:r>
              <w:rPr>
                <w:color w:val="231F20"/>
                <w:spacing w:val="-7"/>
                <w:sz w:val="22"/>
              </w:rPr>
              <w:t> </w:t>
            </w:r>
            <w:r>
              <w:rPr>
                <w:color w:val="231F20"/>
                <w:sz w:val="22"/>
              </w:rPr>
              <w:t>vocabulary,</w:t>
            </w:r>
            <w:r>
              <w:rPr>
                <w:color w:val="231F20"/>
                <w:spacing w:val="-7"/>
                <w:sz w:val="22"/>
              </w:rPr>
              <w:t> </w:t>
            </w:r>
            <w:r>
              <w:rPr>
                <w:color w:val="231F20"/>
                <w:sz w:val="22"/>
              </w:rPr>
              <w:t>collocations,</w:t>
            </w:r>
            <w:r>
              <w:rPr>
                <w:color w:val="231F20"/>
                <w:spacing w:val="-7"/>
                <w:sz w:val="22"/>
              </w:rPr>
              <w:t> </w:t>
            </w:r>
            <w:r>
              <w:rPr>
                <w:color w:val="231F20"/>
                <w:sz w:val="22"/>
              </w:rPr>
              <w:t>and some complex functions</w:t>
            </w:r>
          </w:p>
        </w:tc>
        <w:tc>
          <w:tcPr>
            <w:tcW w:w="740" w:type="dxa"/>
          </w:tcPr>
          <w:p>
            <w:pPr>
              <w:pStyle w:val="TableParagraph"/>
              <w:ind w:left="14"/>
              <w:rPr>
                <w:sz w:val="22"/>
              </w:rPr>
            </w:pPr>
            <w:r>
              <w:rPr>
                <w:color w:val="231F20"/>
                <w:w w:val="99"/>
                <w:sz w:val="22"/>
              </w:rPr>
              <w:t>3</w:t>
            </w:r>
          </w:p>
        </w:tc>
        <w:tc>
          <w:tcPr>
            <w:tcW w:w="740" w:type="dxa"/>
          </w:tcPr>
          <w:p>
            <w:pPr>
              <w:pStyle w:val="TableParagraph"/>
              <w:ind w:left="14"/>
              <w:rPr>
                <w:sz w:val="22"/>
              </w:rPr>
            </w:pPr>
            <w:r>
              <w:rPr>
                <w:color w:val="231F20"/>
                <w:w w:val="99"/>
                <w:sz w:val="22"/>
              </w:rPr>
              <w:t>2</w:t>
            </w:r>
          </w:p>
        </w:tc>
        <w:tc>
          <w:tcPr>
            <w:tcW w:w="740" w:type="dxa"/>
          </w:tcPr>
          <w:p>
            <w:pPr>
              <w:pStyle w:val="TableParagraph"/>
              <w:ind w:left="14"/>
              <w:rPr>
                <w:sz w:val="22"/>
              </w:rPr>
            </w:pPr>
            <w:r>
              <w:rPr>
                <w:color w:val="231F20"/>
                <w:w w:val="99"/>
                <w:sz w:val="22"/>
              </w:rPr>
              <w:t>1</w:t>
            </w:r>
          </w:p>
        </w:tc>
      </w:tr>
      <w:tr>
        <w:trPr>
          <w:trHeight w:val="337" w:hRule="atLeast"/>
        </w:trPr>
        <w:tc>
          <w:tcPr>
            <w:tcW w:w="6400" w:type="dxa"/>
          </w:tcPr>
          <w:p>
            <w:pPr>
              <w:pStyle w:val="TableParagraph"/>
              <w:ind w:left="82"/>
              <w:jc w:val="left"/>
              <w:rPr>
                <w:sz w:val="22"/>
              </w:rPr>
            </w:pPr>
            <w:r>
              <w:rPr>
                <w:color w:val="231F20"/>
                <w:sz w:val="22"/>
              </w:rPr>
              <w:t>Uses</w:t>
            </w:r>
            <w:r>
              <w:rPr>
                <w:color w:val="231F20"/>
                <w:spacing w:val="-4"/>
                <w:sz w:val="22"/>
              </w:rPr>
              <w:t> </w:t>
            </w:r>
            <w:r>
              <w:rPr>
                <w:color w:val="231F20"/>
                <w:sz w:val="22"/>
              </w:rPr>
              <w:t>good</w:t>
            </w:r>
            <w:r>
              <w:rPr>
                <w:color w:val="231F20"/>
                <w:spacing w:val="-4"/>
                <w:sz w:val="22"/>
              </w:rPr>
              <w:t> </w:t>
            </w:r>
            <w:r>
              <w:rPr>
                <w:color w:val="231F20"/>
                <w:sz w:val="22"/>
              </w:rPr>
              <w:t>range</w:t>
            </w:r>
            <w:r>
              <w:rPr>
                <w:color w:val="231F20"/>
                <w:spacing w:val="-4"/>
                <w:sz w:val="22"/>
              </w:rPr>
              <w:t> </w:t>
            </w:r>
            <w:r>
              <w:rPr>
                <w:color w:val="231F20"/>
                <w:sz w:val="22"/>
              </w:rPr>
              <w:t>of</w:t>
            </w:r>
            <w:r>
              <w:rPr>
                <w:color w:val="231F20"/>
                <w:spacing w:val="-4"/>
                <w:sz w:val="22"/>
              </w:rPr>
              <w:t> </w:t>
            </w:r>
            <w:r>
              <w:rPr>
                <w:color w:val="231F20"/>
                <w:spacing w:val="-2"/>
                <w:sz w:val="22"/>
              </w:rPr>
              <w:t>structures</w:t>
            </w:r>
          </w:p>
        </w:tc>
        <w:tc>
          <w:tcPr>
            <w:tcW w:w="740" w:type="dxa"/>
          </w:tcPr>
          <w:p>
            <w:pPr>
              <w:pStyle w:val="TableParagraph"/>
              <w:ind w:left="14"/>
              <w:rPr>
                <w:sz w:val="22"/>
              </w:rPr>
            </w:pPr>
            <w:r>
              <w:rPr>
                <w:color w:val="231F20"/>
                <w:w w:val="99"/>
                <w:sz w:val="22"/>
              </w:rPr>
              <w:t>3</w:t>
            </w:r>
          </w:p>
        </w:tc>
        <w:tc>
          <w:tcPr>
            <w:tcW w:w="740" w:type="dxa"/>
          </w:tcPr>
          <w:p>
            <w:pPr>
              <w:pStyle w:val="TableParagraph"/>
              <w:ind w:left="14"/>
              <w:rPr>
                <w:sz w:val="22"/>
              </w:rPr>
            </w:pPr>
            <w:r>
              <w:rPr>
                <w:color w:val="231F20"/>
                <w:w w:val="99"/>
                <w:sz w:val="22"/>
              </w:rPr>
              <w:t>2</w:t>
            </w:r>
          </w:p>
        </w:tc>
        <w:tc>
          <w:tcPr>
            <w:tcW w:w="740" w:type="dxa"/>
          </w:tcPr>
          <w:p>
            <w:pPr>
              <w:pStyle w:val="TableParagraph"/>
              <w:ind w:left="15"/>
              <w:rPr>
                <w:sz w:val="22"/>
              </w:rPr>
            </w:pPr>
            <w:r>
              <w:rPr>
                <w:color w:val="231F20"/>
                <w:w w:val="99"/>
                <w:sz w:val="22"/>
              </w:rPr>
              <w:t>1</w:t>
            </w:r>
          </w:p>
        </w:tc>
      </w:tr>
      <w:tr>
        <w:trPr>
          <w:trHeight w:val="337" w:hRule="atLeast"/>
        </w:trPr>
        <w:tc>
          <w:tcPr>
            <w:tcW w:w="6400" w:type="dxa"/>
          </w:tcPr>
          <w:p>
            <w:pPr>
              <w:pStyle w:val="TableParagraph"/>
              <w:ind w:left="82"/>
              <w:jc w:val="left"/>
              <w:rPr>
                <w:sz w:val="22"/>
              </w:rPr>
            </w:pPr>
            <w:r>
              <w:rPr>
                <w:color w:val="231F20"/>
                <w:sz w:val="22"/>
              </w:rPr>
              <w:t>Can</w:t>
            </w:r>
            <w:r>
              <w:rPr>
                <w:color w:val="231F20"/>
                <w:spacing w:val="-6"/>
                <w:sz w:val="22"/>
              </w:rPr>
              <w:t> </w:t>
            </w:r>
            <w:r>
              <w:rPr>
                <w:color w:val="231F20"/>
                <w:sz w:val="22"/>
              </w:rPr>
              <w:t>exploit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the</w:t>
            </w:r>
            <w:r>
              <w:rPr>
                <w:color w:val="231F20"/>
                <w:spacing w:val="-6"/>
                <w:sz w:val="22"/>
              </w:rPr>
              <w:t> </w:t>
            </w:r>
            <w:r>
              <w:rPr>
                <w:color w:val="231F20"/>
                <w:sz w:val="22"/>
              </w:rPr>
              <w:t>pragmatic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meanings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of</w:t>
            </w:r>
            <w:r>
              <w:rPr>
                <w:color w:val="231F20"/>
                <w:spacing w:val="-6"/>
                <w:sz w:val="22"/>
              </w:rPr>
              <w:t> </w:t>
            </w:r>
            <w:r>
              <w:rPr>
                <w:color w:val="231F20"/>
                <w:sz w:val="22"/>
              </w:rPr>
              <w:t>everyday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fixed</w:t>
            </w:r>
            <w:r>
              <w:rPr>
                <w:color w:val="231F20"/>
                <w:spacing w:val="-6"/>
                <w:sz w:val="22"/>
              </w:rPr>
              <w:t> </w:t>
            </w:r>
            <w:r>
              <w:rPr>
                <w:color w:val="231F20"/>
                <w:spacing w:val="-2"/>
                <w:sz w:val="22"/>
              </w:rPr>
              <w:t>phrases</w:t>
            </w:r>
          </w:p>
        </w:tc>
        <w:tc>
          <w:tcPr>
            <w:tcW w:w="740" w:type="dxa"/>
          </w:tcPr>
          <w:p>
            <w:pPr>
              <w:pStyle w:val="TableParagraph"/>
              <w:ind w:left="15"/>
              <w:rPr>
                <w:sz w:val="22"/>
              </w:rPr>
            </w:pPr>
            <w:r>
              <w:rPr>
                <w:color w:val="231F20"/>
                <w:w w:val="99"/>
                <w:sz w:val="22"/>
              </w:rPr>
              <w:t>3</w:t>
            </w:r>
          </w:p>
        </w:tc>
        <w:tc>
          <w:tcPr>
            <w:tcW w:w="740" w:type="dxa"/>
          </w:tcPr>
          <w:p>
            <w:pPr>
              <w:pStyle w:val="TableParagraph"/>
              <w:ind w:left="15"/>
              <w:rPr>
                <w:sz w:val="22"/>
              </w:rPr>
            </w:pPr>
            <w:r>
              <w:rPr>
                <w:color w:val="231F20"/>
                <w:w w:val="99"/>
                <w:sz w:val="22"/>
              </w:rPr>
              <w:t>2</w:t>
            </w:r>
          </w:p>
        </w:tc>
        <w:tc>
          <w:tcPr>
            <w:tcW w:w="740" w:type="dxa"/>
          </w:tcPr>
          <w:p>
            <w:pPr>
              <w:pStyle w:val="TableParagraph"/>
              <w:ind w:left="15"/>
              <w:rPr>
                <w:sz w:val="22"/>
              </w:rPr>
            </w:pPr>
            <w:r>
              <w:rPr>
                <w:color w:val="231F20"/>
                <w:w w:val="99"/>
                <w:sz w:val="22"/>
              </w:rPr>
              <w:t>1</w:t>
            </w:r>
          </w:p>
        </w:tc>
      </w:tr>
      <w:tr>
        <w:trPr>
          <w:trHeight w:val="337" w:hRule="atLeast"/>
        </w:trPr>
        <w:tc>
          <w:tcPr>
            <w:tcW w:w="6400" w:type="dxa"/>
            <w:shd w:val="clear" w:color="auto" w:fill="D1D3D4"/>
          </w:tcPr>
          <w:p>
            <w:pPr>
              <w:pStyle w:val="TableParagraph"/>
              <w:ind w:left="82"/>
              <w:jc w:val="left"/>
              <w:rPr>
                <w:b/>
                <w:sz w:val="22"/>
              </w:rPr>
            </w:pPr>
            <w:r>
              <w:rPr>
                <w:b/>
                <w:color w:val="231F20"/>
                <w:spacing w:val="-2"/>
                <w:sz w:val="22"/>
              </w:rPr>
              <w:t>ACCURACY</w:t>
            </w:r>
          </w:p>
        </w:tc>
        <w:tc>
          <w:tcPr>
            <w:tcW w:w="740" w:type="dxa"/>
          </w:tcPr>
          <w:p>
            <w:pPr>
              <w:pStyle w:val="TableParagraph"/>
              <w:spacing w:before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740" w:type="dxa"/>
          </w:tcPr>
          <w:p>
            <w:pPr>
              <w:pStyle w:val="TableParagraph"/>
              <w:spacing w:before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740" w:type="dxa"/>
          </w:tcPr>
          <w:p>
            <w:pPr>
              <w:pStyle w:val="TableParagraph"/>
              <w:spacing w:before="0"/>
              <w:jc w:val="left"/>
              <w:rPr>
                <w:rFonts w:ascii="Times New Roman"/>
                <w:sz w:val="20"/>
              </w:rPr>
            </w:pPr>
          </w:p>
        </w:tc>
      </w:tr>
      <w:tr>
        <w:trPr>
          <w:trHeight w:val="337" w:hRule="atLeast"/>
        </w:trPr>
        <w:tc>
          <w:tcPr>
            <w:tcW w:w="6400" w:type="dxa"/>
          </w:tcPr>
          <w:p>
            <w:pPr>
              <w:pStyle w:val="TableParagraph"/>
              <w:ind w:left="82"/>
              <w:jc w:val="left"/>
              <w:rPr>
                <w:sz w:val="22"/>
              </w:rPr>
            </w:pPr>
            <w:r>
              <w:rPr>
                <w:color w:val="231F20"/>
                <w:sz w:val="22"/>
              </w:rPr>
              <w:t>Communicates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with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accuracy</w:t>
            </w:r>
            <w:r>
              <w:rPr>
                <w:color w:val="231F20"/>
                <w:spacing w:val="-4"/>
                <w:sz w:val="22"/>
              </w:rPr>
              <w:t> </w:t>
            </w:r>
            <w:r>
              <w:rPr>
                <w:color w:val="231F20"/>
                <w:sz w:val="22"/>
              </w:rPr>
              <w:t>on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a</w:t>
            </w:r>
            <w:r>
              <w:rPr>
                <w:color w:val="231F20"/>
                <w:spacing w:val="-4"/>
                <w:sz w:val="22"/>
              </w:rPr>
              <w:t> </w:t>
            </w:r>
            <w:r>
              <w:rPr>
                <w:color w:val="231F20"/>
                <w:sz w:val="22"/>
              </w:rPr>
              <w:t>very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wide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range</w:t>
            </w:r>
            <w:r>
              <w:rPr>
                <w:color w:val="231F20"/>
                <w:spacing w:val="-4"/>
                <w:sz w:val="22"/>
              </w:rPr>
              <w:t> </w:t>
            </w:r>
            <w:r>
              <w:rPr>
                <w:color w:val="231F20"/>
                <w:sz w:val="22"/>
              </w:rPr>
              <w:t>of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pacing w:val="-2"/>
                <w:sz w:val="22"/>
              </w:rPr>
              <w:t>topics</w:t>
            </w:r>
          </w:p>
        </w:tc>
        <w:tc>
          <w:tcPr>
            <w:tcW w:w="740" w:type="dxa"/>
          </w:tcPr>
          <w:p>
            <w:pPr>
              <w:pStyle w:val="TableParagraph"/>
              <w:ind w:left="15"/>
              <w:rPr>
                <w:sz w:val="22"/>
              </w:rPr>
            </w:pPr>
            <w:r>
              <w:rPr>
                <w:color w:val="231F20"/>
                <w:w w:val="99"/>
                <w:sz w:val="22"/>
              </w:rPr>
              <w:t>3</w:t>
            </w:r>
          </w:p>
        </w:tc>
        <w:tc>
          <w:tcPr>
            <w:tcW w:w="740" w:type="dxa"/>
          </w:tcPr>
          <w:p>
            <w:pPr>
              <w:pStyle w:val="TableParagraph"/>
              <w:ind w:left="15"/>
              <w:rPr>
                <w:sz w:val="22"/>
              </w:rPr>
            </w:pPr>
            <w:r>
              <w:rPr>
                <w:color w:val="231F20"/>
                <w:w w:val="99"/>
                <w:sz w:val="22"/>
              </w:rPr>
              <w:t>2</w:t>
            </w:r>
          </w:p>
        </w:tc>
        <w:tc>
          <w:tcPr>
            <w:tcW w:w="740" w:type="dxa"/>
          </w:tcPr>
          <w:p>
            <w:pPr>
              <w:pStyle w:val="TableParagraph"/>
              <w:ind w:left="16"/>
              <w:rPr>
                <w:sz w:val="22"/>
              </w:rPr>
            </w:pPr>
            <w:r>
              <w:rPr>
                <w:color w:val="231F20"/>
                <w:w w:val="99"/>
                <w:sz w:val="22"/>
              </w:rPr>
              <w:t>1</w:t>
            </w:r>
          </w:p>
        </w:tc>
      </w:tr>
      <w:tr>
        <w:trPr>
          <w:trHeight w:val="337" w:hRule="atLeast"/>
        </w:trPr>
        <w:tc>
          <w:tcPr>
            <w:tcW w:w="6400" w:type="dxa"/>
          </w:tcPr>
          <w:p>
            <w:pPr>
              <w:pStyle w:val="TableParagraph"/>
              <w:ind w:left="83"/>
              <w:jc w:val="left"/>
              <w:rPr>
                <w:sz w:val="22"/>
              </w:rPr>
            </w:pPr>
            <w:r>
              <w:rPr>
                <w:color w:val="231F20"/>
                <w:sz w:val="22"/>
              </w:rPr>
              <w:t>Generally</w:t>
            </w:r>
            <w:r>
              <w:rPr>
                <w:color w:val="231F20"/>
                <w:spacing w:val="-7"/>
                <w:sz w:val="22"/>
              </w:rPr>
              <w:t> </w:t>
            </w:r>
            <w:r>
              <w:rPr>
                <w:color w:val="231F20"/>
                <w:sz w:val="22"/>
              </w:rPr>
              <w:t>uses</w:t>
            </w:r>
            <w:r>
              <w:rPr>
                <w:color w:val="231F20"/>
                <w:spacing w:val="-6"/>
                <w:sz w:val="22"/>
              </w:rPr>
              <w:t> </w:t>
            </w:r>
            <w:r>
              <w:rPr>
                <w:color w:val="231F20"/>
                <w:sz w:val="22"/>
              </w:rPr>
              <w:t>vocabulary</w:t>
            </w:r>
            <w:r>
              <w:rPr>
                <w:color w:val="231F20"/>
                <w:spacing w:val="-6"/>
                <w:sz w:val="22"/>
              </w:rPr>
              <w:t> </w:t>
            </w:r>
            <w:r>
              <w:rPr>
                <w:color w:val="231F20"/>
                <w:sz w:val="22"/>
              </w:rPr>
              <w:t>appropriately</w:t>
            </w:r>
            <w:r>
              <w:rPr>
                <w:color w:val="231F20"/>
                <w:spacing w:val="-6"/>
                <w:sz w:val="22"/>
              </w:rPr>
              <w:t> </w:t>
            </w:r>
            <w:r>
              <w:rPr>
                <w:color w:val="231F20"/>
                <w:sz w:val="22"/>
              </w:rPr>
              <w:t>for</w:t>
            </w:r>
            <w:r>
              <w:rPr>
                <w:color w:val="231F20"/>
                <w:spacing w:val="-7"/>
                <w:sz w:val="22"/>
              </w:rPr>
              <w:t> </w:t>
            </w:r>
            <w:r>
              <w:rPr>
                <w:color w:val="231F20"/>
                <w:sz w:val="22"/>
              </w:rPr>
              <w:t>the</w:t>
            </w:r>
            <w:r>
              <w:rPr>
                <w:color w:val="231F20"/>
                <w:spacing w:val="-6"/>
                <w:sz w:val="22"/>
              </w:rPr>
              <w:t> </w:t>
            </w:r>
            <w:r>
              <w:rPr>
                <w:color w:val="231F20"/>
                <w:spacing w:val="-2"/>
                <w:sz w:val="22"/>
              </w:rPr>
              <w:t>topic</w:t>
            </w:r>
          </w:p>
        </w:tc>
        <w:tc>
          <w:tcPr>
            <w:tcW w:w="740" w:type="dxa"/>
          </w:tcPr>
          <w:p>
            <w:pPr>
              <w:pStyle w:val="TableParagraph"/>
              <w:ind w:left="16"/>
              <w:rPr>
                <w:sz w:val="22"/>
              </w:rPr>
            </w:pPr>
            <w:r>
              <w:rPr>
                <w:color w:val="231F20"/>
                <w:w w:val="99"/>
                <w:sz w:val="22"/>
              </w:rPr>
              <w:t>3</w:t>
            </w:r>
          </w:p>
        </w:tc>
        <w:tc>
          <w:tcPr>
            <w:tcW w:w="740" w:type="dxa"/>
          </w:tcPr>
          <w:p>
            <w:pPr>
              <w:pStyle w:val="TableParagraph"/>
              <w:ind w:left="16"/>
              <w:rPr>
                <w:sz w:val="22"/>
              </w:rPr>
            </w:pPr>
            <w:r>
              <w:rPr>
                <w:color w:val="231F20"/>
                <w:w w:val="99"/>
                <w:sz w:val="22"/>
              </w:rPr>
              <w:t>2</w:t>
            </w:r>
          </w:p>
        </w:tc>
        <w:tc>
          <w:tcPr>
            <w:tcW w:w="740" w:type="dxa"/>
          </w:tcPr>
          <w:p>
            <w:pPr>
              <w:pStyle w:val="TableParagraph"/>
              <w:ind w:left="16"/>
              <w:rPr>
                <w:sz w:val="22"/>
              </w:rPr>
            </w:pPr>
            <w:r>
              <w:rPr>
                <w:color w:val="231F20"/>
                <w:w w:val="99"/>
                <w:sz w:val="22"/>
              </w:rPr>
              <w:t>1</w:t>
            </w:r>
          </w:p>
        </w:tc>
      </w:tr>
      <w:tr>
        <w:trPr>
          <w:trHeight w:val="337" w:hRule="atLeast"/>
        </w:trPr>
        <w:tc>
          <w:tcPr>
            <w:tcW w:w="6400" w:type="dxa"/>
          </w:tcPr>
          <w:p>
            <w:pPr>
              <w:pStyle w:val="TableParagraph"/>
              <w:ind w:left="83"/>
              <w:jc w:val="left"/>
              <w:rPr>
                <w:sz w:val="22"/>
              </w:rPr>
            </w:pPr>
            <w:r>
              <w:rPr>
                <w:color w:val="231F20"/>
                <w:sz w:val="22"/>
              </w:rPr>
              <w:t>Can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self-</w:t>
            </w:r>
            <w:r>
              <w:rPr>
                <w:color w:val="231F20"/>
                <w:spacing w:val="-2"/>
                <w:sz w:val="22"/>
              </w:rPr>
              <w:t>correct</w:t>
            </w:r>
          </w:p>
        </w:tc>
        <w:tc>
          <w:tcPr>
            <w:tcW w:w="740" w:type="dxa"/>
          </w:tcPr>
          <w:p>
            <w:pPr>
              <w:pStyle w:val="TableParagraph"/>
              <w:ind w:left="16"/>
              <w:rPr>
                <w:sz w:val="22"/>
              </w:rPr>
            </w:pPr>
            <w:r>
              <w:rPr>
                <w:color w:val="231F20"/>
                <w:w w:val="99"/>
                <w:sz w:val="22"/>
              </w:rPr>
              <w:t>3</w:t>
            </w:r>
          </w:p>
        </w:tc>
        <w:tc>
          <w:tcPr>
            <w:tcW w:w="740" w:type="dxa"/>
          </w:tcPr>
          <w:p>
            <w:pPr>
              <w:pStyle w:val="TableParagraph"/>
              <w:ind w:left="16"/>
              <w:rPr>
                <w:sz w:val="22"/>
              </w:rPr>
            </w:pPr>
            <w:r>
              <w:rPr>
                <w:color w:val="231F20"/>
                <w:w w:val="99"/>
                <w:sz w:val="22"/>
              </w:rPr>
              <w:t>2</w:t>
            </w:r>
          </w:p>
        </w:tc>
        <w:tc>
          <w:tcPr>
            <w:tcW w:w="740" w:type="dxa"/>
          </w:tcPr>
          <w:p>
            <w:pPr>
              <w:pStyle w:val="TableParagraph"/>
              <w:ind w:left="16"/>
              <w:rPr>
                <w:sz w:val="22"/>
              </w:rPr>
            </w:pPr>
            <w:r>
              <w:rPr>
                <w:color w:val="231F20"/>
                <w:w w:val="99"/>
                <w:sz w:val="22"/>
              </w:rPr>
              <w:t>1</w:t>
            </w:r>
          </w:p>
        </w:tc>
      </w:tr>
    </w:tbl>
    <w:p>
      <w:pPr>
        <w:pStyle w:val="BodyText"/>
        <w:spacing w:before="6"/>
        <w:rPr>
          <w:b/>
          <w:sz w:val="7"/>
        </w:rPr>
      </w:pPr>
    </w:p>
    <w:p>
      <w:pPr>
        <w:spacing w:before="100"/>
        <w:ind w:left="103" w:right="0" w:firstLine="0"/>
        <w:jc w:val="left"/>
        <w:rPr>
          <w:b/>
          <w:sz w:val="22"/>
        </w:rPr>
      </w:pPr>
      <w:r>
        <w:rPr>
          <w:b/>
          <w:color w:val="231F20"/>
          <w:spacing w:val="-2"/>
          <w:sz w:val="22"/>
        </w:rPr>
        <w:t>Notes:</w:t>
      </w:r>
    </w:p>
    <w:p>
      <w:pPr>
        <w:tabs>
          <w:tab w:pos="5798" w:val="left" w:leader="none"/>
        </w:tabs>
        <w:spacing w:before="183"/>
        <w:ind w:left="100" w:right="0" w:firstLine="0"/>
        <w:jc w:val="left"/>
        <w:rPr>
          <w:b/>
          <w:sz w:val="20"/>
        </w:rPr>
      </w:pPr>
      <w:r>
        <w:rPr>
          <w:b/>
          <w:i/>
          <w:color w:val="231F20"/>
          <w:sz w:val="20"/>
        </w:rPr>
        <w:t>Connectivity Level </w:t>
      </w:r>
      <w:r>
        <w:rPr>
          <w:b/>
          <w:i/>
          <w:color w:val="231F20"/>
          <w:spacing w:val="-10"/>
          <w:sz w:val="20"/>
        </w:rPr>
        <w:t>4</w:t>
      </w:r>
      <w:r>
        <w:rPr>
          <w:b/>
          <w:i/>
          <w:color w:val="231F20"/>
          <w:sz w:val="20"/>
        </w:rPr>
        <w:tab/>
      </w:r>
      <w:r>
        <w:rPr>
          <w:b/>
          <w:color w:val="231F20"/>
          <w:sz w:val="20"/>
        </w:rPr>
        <w:t>Optional</w:t>
      </w:r>
      <w:r>
        <w:rPr>
          <w:b/>
          <w:color w:val="231F20"/>
          <w:spacing w:val="-7"/>
          <w:sz w:val="20"/>
        </w:rPr>
        <w:t> </w:t>
      </w:r>
      <w:r>
        <w:rPr>
          <w:b/>
          <w:color w:val="231F20"/>
          <w:sz w:val="20"/>
        </w:rPr>
        <w:t>Speaking</w:t>
      </w:r>
      <w:r>
        <w:rPr>
          <w:b/>
          <w:color w:val="231F20"/>
          <w:spacing w:val="-6"/>
          <w:sz w:val="20"/>
        </w:rPr>
        <w:t> </w:t>
      </w:r>
      <w:r>
        <w:rPr>
          <w:b/>
          <w:color w:val="231F20"/>
          <w:sz w:val="20"/>
        </w:rPr>
        <w:t>Task</w:t>
      </w:r>
      <w:r>
        <w:rPr>
          <w:b/>
          <w:color w:val="231F20"/>
          <w:spacing w:val="-6"/>
          <w:sz w:val="20"/>
        </w:rPr>
        <w:t> </w:t>
      </w:r>
      <w:r>
        <w:rPr>
          <w:b/>
          <w:color w:val="231F20"/>
          <w:spacing w:val="-2"/>
          <w:sz w:val="20"/>
        </w:rPr>
        <w:t>Rubric</w:t>
      </w:r>
    </w:p>
    <w:p>
      <w:pPr>
        <w:pStyle w:val="BodyText"/>
        <w:spacing w:before="68"/>
        <w:ind w:left="100"/>
      </w:pPr>
      <w:r>
        <w:rPr>
          <w:color w:val="231F20"/>
        </w:rPr>
        <w:t>©</w:t>
      </w:r>
      <w:r>
        <w:rPr>
          <w:color w:val="231F20"/>
          <w:spacing w:val="-4"/>
        </w:rPr>
        <w:t> </w:t>
      </w:r>
      <w:r>
        <w:rPr>
          <w:color w:val="231F20"/>
        </w:rPr>
        <w:t>2023</w:t>
      </w:r>
      <w:r>
        <w:rPr>
          <w:color w:val="231F20"/>
          <w:spacing w:val="-4"/>
        </w:rPr>
        <w:t> </w:t>
      </w:r>
      <w:r>
        <w:rPr>
          <w:color w:val="231F20"/>
        </w:rPr>
        <w:t>Pearson</w:t>
      </w:r>
      <w:r>
        <w:rPr>
          <w:color w:val="231F20"/>
          <w:spacing w:val="-4"/>
        </w:rPr>
        <w:t> </w:t>
      </w:r>
      <w:r>
        <w:rPr>
          <w:color w:val="231F20"/>
        </w:rPr>
        <w:t>Education,</w:t>
      </w:r>
      <w:r>
        <w:rPr>
          <w:color w:val="231F20"/>
          <w:spacing w:val="-4"/>
        </w:rPr>
        <w:t> </w:t>
      </w:r>
      <w:r>
        <w:rPr>
          <w:color w:val="231F20"/>
        </w:rPr>
        <w:t>Inc.</w:t>
      </w:r>
      <w:r>
        <w:rPr>
          <w:color w:val="231F20"/>
          <w:spacing w:val="-3"/>
        </w:rPr>
        <w:t> </w:t>
      </w:r>
      <w:r>
        <w:rPr>
          <w:color w:val="231F20"/>
        </w:rPr>
        <w:t>Photocopying</w:t>
      </w:r>
      <w:r>
        <w:rPr>
          <w:color w:val="231F20"/>
          <w:spacing w:val="-4"/>
        </w:rPr>
        <w:t> </w:t>
      </w:r>
      <w:r>
        <w:rPr>
          <w:color w:val="231F20"/>
        </w:rPr>
        <w:t>for</w:t>
      </w:r>
      <w:r>
        <w:rPr>
          <w:color w:val="231F20"/>
          <w:spacing w:val="-4"/>
        </w:rPr>
        <w:t> </w:t>
      </w:r>
      <w:r>
        <w:rPr>
          <w:color w:val="231F20"/>
        </w:rPr>
        <w:t>classroom</w:t>
      </w:r>
      <w:r>
        <w:rPr>
          <w:color w:val="231F20"/>
          <w:spacing w:val="-4"/>
        </w:rPr>
        <w:t> </w:t>
      </w:r>
      <w:r>
        <w:rPr>
          <w:color w:val="231F20"/>
        </w:rPr>
        <w:t>use</w:t>
      </w:r>
      <w:r>
        <w:rPr>
          <w:color w:val="231F20"/>
          <w:spacing w:val="-4"/>
        </w:rPr>
        <w:t> </w:t>
      </w:r>
      <w:r>
        <w:rPr>
          <w:color w:val="231F20"/>
        </w:rPr>
        <w:t>is</w:t>
      </w:r>
      <w:r>
        <w:rPr>
          <w:color w:val="231F20"/>
          <w:spacing w:val="-3"/>
        </w:rPr>
        <w:t> </w:t>
      </w:r>
      <w:r>
        <w:rPr>
          <w:color w:val="231F20"/>
          <w:spacing w:val="-2"/>
        </w:rPr>
        <w:t>permitted.</w:t>
      </w:r>
    </w:p>
    <w:sectPr>
      <w:type w:val="continuous"/>
      <w:pgSz w:w="12240" w:h="15840"/>
      <w:pgMar w:top="1780" w:bottom="280" w:left="1700" w:right="17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en-US" w:eastAsia="en-US" w:bidi="ar-SA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sz w:val="16"/>
      <w:szCs w:val="16"/>
      <w:lang w:val="en-US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en-US" w:eastAsia="en-US" w:bidi="ar-SA"/>
    </w:rPr>
  </w:style>
  <w:style w:styleId="TableParagraph" w:type="paragraph">
    <w:name w:val="Table Paragraph"/>
    <w:basedOn w:val="Normal"/>
    <w:uiPriority w:val="1"/>
    <w:qFormat/>
    <w:pPr>
      <w:spacing w:before="42"/>
      <w:jc w:val="center"/>
    </w:pPr>
    <w:rPr>
      <w:rFonts w:ascii="Arial" w:hAnsi="Arial" w:eastAsia="Arial" w:cs="Arial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CTY4 Assessments Speaking Task Rubric.indd</dc:title>
  <dcterms:created xsi:type="dcterms:W3CDTF">2022-09-21T11:12:48Z</dcterms:created>
  <dcterms:modified xsi:type="dcterms:W3CDTF">2022-09-21T11:12:48Z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2022-09-10T00:00:00Z</vt:filetime>
  </property>
  <property fmtid="{D5CDD505-2E9C-101B-9397-08002B2CF9AE}" pid="3" name="Creator">
    <vt:lpwstr>Adobe InDesign 16.4 (Macintosh)</vt:lpwstr>
  </property>
  <property fmtid="{D5CDD505-2E9C-101B-9397-08002B2CF9AE}" pid="4" name="GTS_PDFXConformance">
    <vt:lpwstr>PDF/X-1a:2001</vt:lpwstr>
  </property>
  <property fmtid="{D5CDD505-2E9C-101B-9397-08002B2CF9AE}" pid="5" name="GTS_PDFXVersion">
    <vt:lpwstr>PDF/X-1:2001</vt:lpwstr>
  </property>
  <property fmtid="{D5CDD505-2E9C-101B-9397-08002B2CF9AE}" pid="6" name="LastSaved">
    <vt:filetime>2022-09-21T00:00:00Z</vt:filetime>
  </property>
  <property fmtid="{D5CDD505-2E9C-101B-9397-08002B2CF9AE}" pid="7" name="Producer">
    <vt:lpwstr>Adobe PDF Library 16.0</vt:lpwstr>
  </property>
</Properties>
</file>